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F1BF" w14:textId="77777777" w:rsidR="00FB07F8" w:rsidRPr="00B4501A" w:rsidRDefault="002E39DD" w:rsidP="00B179BD">
      <w:pPr>
        <w:pStyle w:val="Heading1"/>
        <w:tabs>
          <w:tab w:val="left" w:pos="419"/>
        </w:tabs>
        <w:spacing w:after="120"/>
        <w:ind w:left="142" w:firstLine="0"/>
        <w:jc w:val="both"/>
        <w:rPr>
          <w:rFonts w:ascii="Times New Roman" w:hAnsi="Times New Roman" w:cs="Times New Roman"/>
          <w:color w:val="0F7E3E"/>
        </w:rPr>
      </w:pPr>
      <w:r w:rsidRPr="00B4501A">
        <w:rPr>
          <w:rFonts w:ascii="Times New Roman" w:hAnsi="Times New Roman" w:cs="Times New Roman"/>
          <w:color w:val="0F7E3E"/>
        </w:rPr>
        <w:t>Introduction</w:t>
      </w:r>
    </w:p>
    <w:p w14:paraId="6AEEF1C1" w14:textId="390B93BB" w:rsidR="00FB07F8" w:rsidRPr="0098382D" w:rsidRDefault="002E39DD">
      <w:pPr>
        <w:pStyle w:val="BodyText"/>
        <w:spacing w:before="1"/>
        <w:ind w:left="140" w:right="116"/>
        <w:jc w:val="both"/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>In Accordance with the Ontario Energy Board’s</w:t>
      </w:r>
      <w:r w:rsidR="00B4501A">
        <w:rPr>
          <w:rFonts w:ascii="Times New Roman" w:hAnsi="Times New Roman" w:cs="Times New Roman"/>
        </w:rPr>
        <w:t xml:space="preserve"> (OEB’s)</w:t>
      </w:r>
      <w:r w:rsidRPr="0098382D">
        <w:rPr>
          <w:rFonts w:ascii="Times New Roman" w:hAnsi="Times New Roman" w:cs="Times New Roman"/>
        </w:rPr>
        <w:t xml:space="preserve"> Distributed Energy Resources Connection Procedure</w:t>
      </w:r>
      <w:r w:rsidR="00F530A0">
        <w:rPr>
          <w:rFonts w:ascii="Times New Roman" w:hAnsi="Times New Roman" w:cs="Times New Roman"/>
        </w:rPr>
        <w:t xml:space="preserve"> (DERCP)</w:t>
      </w:r>
      <w:r w:rsidRPr="0098382D">
        <w:rPr>
          <w:rFonts w:ascii="Times New Roman" w:hAnsi="Times New Roman" w:cs="Times New Roman"/>
        </w:rPr>
        <w:t xml:space="preserve">, </w:t>
      </w:r>
      <w:r w:rsidR="00F530A0">
        <w:rPr>
          <w:rFonts w:ascii="Times New Roman" w:hAnsi="Times New Roman" w:cs="Times New Roman"/>
        </w:rPr>
        <w:t xml:space="preserve">HEARST Power Distribution Co. Ltd. </w:t>
      </w:r>
      <w:r w:rsidRPr="0098382D">
        <w:rPr>
          <w:rFonts w:ascii="Times New Roman" w:hAnsi="Times New Roman" w:cs="Times New Roman"/>
        </w:rPr>
        <w:t>(</w:t>
      </w:r>
      <w:r w:rsidR="00F530A0">
        <w:rPr>
          <w:rFonts w:ascii="Times New Roman" w:hAnsi="Times New Roman" w:cs="Times New Roman"/>
        </w:rPr>
        <w:t>Hearst</w:t>
      </w:r>
      <w:r w:rsidR="0086125C">
        <w:rPr>
          <w:rFonts w:ascii="Times New Roman" w:hAnsi="Times New Roman" w:cs="Times New Roman"/>
        </w:rPr>
        <w:t xml:space="preserve"> Power</w:t>
      </w:r>
      <w:r w:rsidRPr="0098382D">
        <w:rPr>
          <w:rFonts w:ascii="Times New Roman" w:hAnsi="Times New Roman" w:cs="Times New Roman"/>
        </w:rPr>
        <w:t>) is providing th</w:t>
      </w:r>
      <w:r w:rsidR="00F530A0">
        <w:rPr>
          <w:rFonts w:ascii="Times New Roman" w:hAnsi="Times New Roman" w:cs="Times New Roman"/>
        </w:rPr>
        <w:t>is</w:t>
      </w:r>
      <w:r w:rsidRPr="0098382D">
        <w:rPr>
          <w:rFonts w:ascii="Times New Roman" w:hAnsi="Times New Roman" w:cs="Times New Roman"/>
        </w:rPr>
        <w:t xml:space="preserve"> “</w:t>
      </w:r>
      <w:r w:rsidRPr="00F530A0">
        <w:rPr>
          <w:rFonts w:ascii="Times New Roman" w:hAnsi="Times New Roman" w:cs="Times New Roman"/>
          <w:i/>
          <w:iCs/>
        </w:rPr>
        <w:t>Generation Connection Information Package</w:t>
      </w:r>
      <w:r w:rsidRPr="0098382D">
        <w:rPr>
          <w:rFonts w:ascii="Times New Roman" w:hAnsi="Times New Roman" w:cs="Times New Roman"/>
        </w:rPr>
        <w:t xml:space="preserve">” to customers with the information necessary to connect a </w:t>
      </w:r>
      <w:r w:rsidR="00F530A0">
        <w:rPr>
          <w:rFonts w:ascii="Times New Roman" w:hAnsi="Times New Roman" w:cs="Times New Roman"/>
        </w:rPr>
        <w:t>D</w:t>
      </w:r>
      <w:r w:rsidRPr="0098382D">
        <w:rPr>
          <w:rFonts w:ascii="Times New Roman" w:hAnsi="Times New Roman" w:cs="Times New Roman"/>
        </w:rPr>
        <w:t xml:space="preserve">istributed </w:t>
      </w:r>
      <w:r w:rsidR="00F530A0">
        <w:rPr>
          <w:rFonts w:ascii="Times New Roman" w:hAnsi="Times New Roman" w:cs="Times New Roman"/>
        </w:rPr>
        <w:t>E</w:t>
      </w:r>
      <w:r w:rsidRPr="0098382D">
        <w:rPr>
          <w:rFonts w:ascii="Times New Roman" w:hAnsi="Times New Roman" w:cs="Times New Roman"/>
        </w:rPr>
        <w:t xml:space="preserve">nergy </w:t>
      </w:r>
      <w:r w:rsidR="00F530A0">
        <w:rPr>
          <w:rFonts w:ascii="Times New Roman" w:hAnsi="Times New Roman" w:cs="Times New Roman"/>
        </w:rPr>
        <w:t>R</w:t>
      </w:r>
      <w:r w:rsidRPr="0098382D">
        <w:rPr>
          <w:rFonts w:ascii="Times New Roman" w:hAnsi="Times New Roman" w:cs="Times New Roman"/>
        </w:rPr>
        <w:t>esource</w:t>
      </w:r>
      <w:r w:rsidR="00F530A0">
        <w:rPr>
          <w:rFonts w:ascii="Times New Roman" w:hAnsi="Times New Roman" w:cs="Times New Roman"/>
        </w:rPr>
        <w:t xml:space="preserve"> (DER)</w:t>
      </w:r>
      <w:r w:rsidRPr="0098382D">
        <w:rPr>
          <w:rFonts w:ascii="Times New Roman" w:hAnsi="Times New Roman" w:cs="Times New Roman"/>
        </w:rPr>
        <w:t xml:space="preserve"> to </w:t>
      </w:r>
      <w:r w:rsidR="00F530A0">
        <w:rPr>
          <w:rFonts w:ascii="Times New Roman" w:hAnsi="Times New Roman" w:cs="Times New Roman"/>
        </w:rPr>
        <w:t>Hearst</w:t>
      </w:r>
      <w:r w:rsidR="00003A0F">
        <w:rPr>
          <w:rFonts w:ascii="Times New Roman" w:hAnsi="Times New Roman" w:cs="Times New Roman"/>
        </w:rPr>
        <w:t xml:space="preserve"> Power</w:t>
      </w:r>
      <w:r w:rsidRPr="0098382D">
        <w:rPr>
          <w:rFonts w:ascii="Times New Roman" w:hAnsi="Times New Roman" w:cs="Times New Roman"/>
        </w:rPr>
        <w:t>’s distributions system.</w:t>
      </w:r>
    </w:p>
    <w:p w14:paraId="6AEEF1C2" w14:textId="77777777" w:rsidR="00FB07F8" w:rsidRPr="0098382D" w:rsidRDefault="00FB07F8">
      <w:pPr>
        <w:pStyle w:val="BodyText"/>
        <w:rPr>
          <w:rFonts w:ascii="Times New Roman" w:hAnsi="Times New Roman" w:cs="Times New Roman"/>
        </w:rPr>
      </w:pPr>
    </w:p>
    <w:p w14:paraId="6AEEF1C3" w14:textId="3715C0B8" w:rsidR="00FB07F8" w:rsidRPr="0098382D" w:rsidRDefault="002E39DD">
      <w:pPr>
        <w:pStyle w:val="BodyText"/>
        <w:ind w:left="140" w:right="116"/>
        <w:jc w:val="both"/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>The package will provide the process, information, applications</w:t>
      </w:r>
      <w:r w:rsidR="00F530A0">
        <w:rPr>
          <w:rFonts w:ascii="Times New Roman" w:hAnsi="Times New Roman" w:cs="Times New Roman"/>
        </w:rPr>
        <w:t>,</w:t>
      </w:r>
      <w:r w:rsidRPr="0098382D">
        <w:rPr>
          <w:rFonts w:ascii="Times New Roman" w:hAnsi="Times New Roman" w:cs="Times New Roman"/>
        </w:rPr>
        <w:t xml:space="preserve"> and </w:t>
      </w:r>
      <w:r w:rsidR="0073090E">
        <w:rPr>
          <w:rFonts w:ascii="Times New Roman" w:hAnsi="Times New Roman" w:cs="Times New Roman"/>
        </w:rPr>
        <w:t xml:space="preserve">other relevant </w:t>
      </w:r>
      <w:r w:rsidRPr="0098382D">
        <w:rPr>
          <w:rFonts w:ascii="Times New Roman" w:hAnsi="Times New Roman" w:cs="Times New Roman"/>
        </w:rPr>
        <w:t>documents required to facilitate the DER connection. The Generator Connection Information Package and all supporting documents are available electronically</w:t>
      </w:r>
      <w:r w:rsidR="00857149">
        <w:rPr>
          <w:rFonts w:ascii="Times New Roman" w:hAnsi="Times New Roman" w:cs="Times New Roman"/>
        </w:rPr>
        <w:t xml:space="preserve"> on Hearst</w:t>
      </w:r>
      <w:r w:rsidR="00003A0F">
        <w:rPr>
          <w:rFonts w:ascii="Times New Roman" w:hAnsi="Times New Roman" w:cs="Times New Roman"/>
        </w:rPr>
        <w:t xml:space="preserve"> Power</w:t>
      </w:r>
      <w:r w:rsidR="00857149">
        <w:rPr>
          <w:rFonts w:ascii="Times New Roman" w:hAnsi="Times New Roman" w:cs="Times New Roman"/>
        </w:rPr>
        <w:t>’s website (</w:t>
      </w:r>
      <w:hyperlink r:id="rId7" w:history="1">
        <w:r w:rsidR="00CC67F5" w:rsidRPr="00CC67F5">
          <w:rPr>
            <w:rStyle w:val="Hyperlink"/>
            <w:rFonts w:ascii="Times New Roman" w:hAnsi="Times New Roman" w:cs="Times New Roman"/>
          </w:rPr>
          <w:t>https://www.hearstpower.com/</w:t>
        </w:r>
      </w:hyperlink>
      <w:r w:rsidR="00CC67F5">
        <w:rPr>
          <w:rFonts w:ascii="Times New Roman" w:hAnsi="Times New Roman" w:cs="Times New Roman"/>
        </w:rPr>
        <w:t>)</w:t>
      </w:r>
      <w:r w:rsidRPr="0098382D">
        <w:rPr>
          <w:rFonts w:ascii="Times New Roman" w:hAnsi="Times New Roman" w:cs="Times New Roman"/>
        </w:rPr>
        <w:t xml:space="preserve">. Proponents may contact </w:t>
      </w:r>
      <w:r w:rsidR="00857149">
        <w:rPr>
          <w:rFonts w:ascii="Times New Roman" w:hAnsi="Times New Roman" w:cs="Times New Roman"/>
        </w:rPr>
        <w:t xml:space="preserve">Hearst </w:t>
      </w:r>
      <w:r w:rsidR="00003A0F">
        <w:rPr>
          <w:rFonts w:ascii="Times New Roman" w:hAnsi="Times New Roman" w:cs="Times New Roman"/>
        </w:rPr>
        <w:t xml:space="preserve">Power </w:t>
      </w:r>
      <w:r w:rsidR="00857149">
        <w:rPr>
          <w:rFonts w:ascii="Times New Roman" w:hAnsi="Times New Roman" w:cs="Times New Roman"/>
        </w:rPr>
        <w:t>at the contact information provided below</w:t>
      </w:r>
      <w:r w:rsidRPr="0098382D">
        <w:rPr>
          <w:rFonts w:ascii="Times New Roman" w:hAnsi="Times New Roman" w:cs="Times New Roman"/>
        </w:rPr>
        <w:t xml:space="preserve"> for a paper copy. </w:t>
      </w:r>
    </w:p>
    <w:p w14:paraId="6AEEF1C6" w14:textId="77777777" w:rsidR="00FB07F8" w:rsidRPr="0098382D" w:rsidRDefault="00FB07F8">
      <w:pPr>
        <w:pStyle w:val="BodyText"/>
        <w:spacing w:before="6"/>
        <w:rPr>
          <w:rFonts w:ascii="Times New Roman" w:hAnsi="Times New Roman" w:cs="Times New Roman"/>
          <w:sz w:val="16"/>
        </w:rPr>
      </w:pPr>
    </w:p>
    <w:p w14:paraId="6AEEF1C7" w14:textId="77777777" w:rsidR="00FB07F8" w:rsidRPr="00B4501A" w:rsidRDefault="002E39DD" w:rsidP="00B179BD">
      <w:pPr>
        <w:pStyle w:val="Heading1"/>
        <w:tabs>
          <w:tab w:val="left" w:pos="419"/>
        </w:tabs>
        <w:spacing w:after="120"/>
        <w:ind w:left="142" w:firstLine="0"/>
        <w:rPr>
          <w:rFonts w:ascii="Times New Roman" w:hAnsi="Times New Roman" w:cs="Times New Roman"/>
          <w:color w:val="0F7E3E"/>
        </w:rPr>
      </w:pPr>
      <w:r w:rsidRPr="00B4501A">
        <w:rPr>
          <w:rFonts w:ascii="Times New Roman" w:hAnsi="Times New Roman" w:cs="Times New Roman"/>
          <w:color w:val="0F7E3E"/>
        </w:rPr>
        <w:t>Contact Information</w:t>
      </w:r>
    </w:p>
    <w:p w14:paraId="05E16D77" w14:textId="77777777" w:rsidR="00A57308" w:rsidRPr="00A57308" w:rsidRDefault="00A57308" w:rsidP="00D576BA">
      <w:pPr>
        <w:ind w:left="140" w:right="-19"/>
        <w:rPr>
          <w:rFonts w:ascii="Times New Roman" w:hAnsi="Times New Roman" w:cs="Times New Roman"/>
          <w:bCs/>
        </w:rPr>
      </w:pPr>
      <w:r w:rsidRPr="00A57308">
        <w:rPr>
          <w:rFonts w:ascii="Times New Roman" w:hAnsi="Times New Roman" w:cs="Times New Roman"/>
          <w:bCs/>
        </w:rPr>
        <w:t>Hearst Power Distribution Co. Ltd.</w:t>
      </w:r>
    </w:p>
    <w:p w14:paraId="34311528" w14:textId="77777777" w:rsidR="00A57308" w:rsidRPr="00A57308" w:rsidRDefault="00A57308" w:rsidP="00D576BA">
      <w:pPr>
        <w:ind w:left="140" w:right="-19"/>
        <w:rPr>
          <w:rFonts w:ascii="Times New Roman" w:hAnsi="Times New Roman" w:cs="Times New Roman"/>
          <w:bCs/>
        </w:rPr>
      </w:pPr>
      <w:r w:rsidRPr="00A57308">
        <w:rPr>
          <w:rFonts w:ascii="Times New Roman" w:hAnsi="Times New Roman" w:cs="Times New Roman"/>
          <w:bCs/>
        </w:rPr>
        <w:t>925 Alexandra St., P.O. bag 5000</w:t>
      </w:r>
    </w:p>
    <w:p w14:paraId="5A057416" w14:textId="77777777" w:rsidR="00A57308" w:rsidRPr="00A57308" w:rsidRDefault="00A57308" w:rsidP="00D576BA">
      <w:pPr>
        <w:ind w:left="140" w:right="-19"/>
        <w:rPr>
          <w:rFonts w:ascii="Times New Roman" w:hAnsi="Times New Roman" w:cs="Times New Roman"/>
          <w:bCs/>
        </w:rPr>
      </w:pPr>
      <w:r w:rsidRPr="00A57308">
        <w:rPr>
          <w:rFonts w:ascii="Times New Roman" w:hAnsi="Times New Roman" w:cs="Times New Roman"/>
          <w:bCs/>
        </w:rPr>
        <w:t>Hearst, ON, P0L 1N0</w:t>
      </w:r>
    </w:p>
    <w:p w14:paraId="42A05A16" w14:textId="77777777" w:rsidR="00A57308" w:rsidRPr="00A57308" w:rsidRDefault="00A57308" w:rsidP="00D576BA">
      <w:pPr>
        <w:ind w:left="140" w:right="-19"/>
        <w:rPr>
          <w:rFonts w:ascii="Times New Roman" w:hAnsi="Times New Roman" w:cs="Times New Roman"/>
          <w:bCs/>
        </w:rPr>
      </w:pPr>
      <w:r w:rsidRPr="00A57308">
        <w:rPr>
          <w:rFonts w:ascii="Times New Roman" w:hAnsi="Times New Roman" w:cs="Times New Roman"/>
          <w:bCs/>
        </w:rPr>
        <w:t>Tel: 705-372-2815</w:t>
      </w:r>
    </w:p>
    <w:p w14:paraId="6AEEF1CA" w14:textId="532AACD4" w:rsidR="00FB07F8" w:rsidRPr="0098382D" w:rsidRDefault="00D576BA" w:rsidP="00D576BA">
      <w:pPr>
        <w:ind w:left="140" w:right="-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Email: </w:t>
      </w:r>
      <w:hyperlink r:id="rId8" w:history="1">
        <w:r w:rsidR="00B179BD" w:rsidRPr="00A33F7E">
          <w:rPr>
            <w:rStyle w:val="Hyperlink"/>
            <w:rFonts w:ascii="Times New Roman" w:hAnsi="Times New Roman" w:cs="Times New Roman"/>
          </w:rPr>
          <w:t>service@hearstpower.com</w:t>
        </w:r>
      </w:hyperlink>
      <w:r w:rsidR="00B179BD">
        <w:rPr>
          <w:rFonts w:ascii="Times New Roman" w:hAnsi="Times New Roman" w:cs="Times New Roman"/>
        </w:rPr>
        <w:t xml:space="preserve"> (</w:t>
      </w:r>
      <w:r w:rsidR="00B179BD" w:rsidRPr="00B179BD">
        <w:rPr>
          <w:rFonts w:ascii="Times New Roman" w:hAnsi="Times New Roman" w:cs="Times New Roman"/>
          <w:i/>
          <w:iCs/>
        </w:rPr>
        <w:t>Attn: DER Connections</w:t>
      </w:r>
      <w:r w:rsidR="00B179BD">
        <w:rPr>
          <w:rFonts w:ascii="Times New Roman" w:hAnsi="Times New Roman" w:cs="Times New Roman"/>
        </w:rPr>
        <w:t>)</w:t>
      </w:r>
    </w:p>
    <w:p w14:paraId="6AEEF1CB" w14:textId="77777777" w:rsidR="00FB07F8" w:rsidRPr="0098382D" w:rsidRDefault="00FB07F8">
      <w:pPr>
        <w:pStyle w:val="BodyText"/>
        <w:spacing w:before="3"/>
        <w:rPr>
          <w:rFonts w:ascii="Times New Roman" w:hAnsi="Times New Roman" w:cs="Times New Roman"/>
          <w:sz w:val="20"/>
        </w:rPr>
      </w:pPr>
    </w:p>
    <w:p w14:paraId="6AEEF1CC" w14:textId="77777777" w:rsidR="00FB07F8" w:rsidRPr="00CC67F5" w:rsidRDefault="002E39DD" w:rsidP="00B179BD">
      <w:pPr>
        <w:pStyle w:val="Heading1"/>
        <w:tabs>
          <w:tab w:val="left" w:pos="419"/>
        </w:tabs>
        <w:spacing w:after="120"/>
        <w:ind w:left="142" w:firstLine="0"/>
        <w:rPr>
          <w:rFonts w:ascii="Times New Roman" w:hAnsi="Times New Roman" w:cs="Times New Roman"/>
          <w:color w:val="0F7E3E"/>
        </w:rPr>
      </w:pPr>
      <w:r w:rsidRPr="00CC67F5">
        <w:rPr>
          <w:rFonts w:ascii="Times New Roman" w:hAnsi="Times New Roman" w:cs="Times New Roman"/>
          <w:color w:val="0F7E3E"/>
        </w:rPr>
        <w:t>Generation Connection Information Package Documents</w:t>
      </w:r>
    </w:p>
    <w:p w14:paraId="2C599318" w14:textId="77777777" w:rsidR="00003A0F" w:rsidRDefault="0086125C" w:rsidP="0086125C">
      <w:pPr>
        <w:ind w:left="140" w:right="-1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The following documents for Hearst Power constitute the Generation Connection Information Package:</w:t>
      </w:r>
    </w:p>
    <w:p w14:paraId="0A174CD9" w14:textId="627FFE8A" w:rsidR="006E3B48" w:rsidRDefault="00223F9E" w:rsidP="00003A0F">
      <w:pPr>
        <w:pStyle w:val="ListParagraph"/>
        <w:numPr>
          <w:ilvl w:val="0"/>
          <w:numId w:val="3"/>
        </w:numPr>
        <w:ind w:right="-19"/>
        <w:rPr>
          <w:rFonts w:ascii="Times New Roman" w:hAnsi="Times New Roman" w:cs="Times New Roman"/>
          <w:bCs/>
        </w:rPr>
      </w:pPr>
      <w:r w:rsidRPr="00223F9E">
        <w:rPr>
          <w:rFonts w:ascii="Times New Roman" w:hAnsi="Times New Roman" w:cs="Times New Roman"/>
          <w:bCs/>
        </w:rPr>
        <w:t>Preliminary Consultation Information Request (PCIR) form</w:t>
      </w:r>
    </w:p>
    <w:p w14:paraId="6AEEF1CD" w14:textId="35CF3923" w:rsidR="00FB07F8" w:rsidRPr="00003A0F" w:rsidRDefault="002E39DD" w:rsidP="00003A0F">
      <w:pPr>
        <w:pStyle w:val="ListParagraph"/>
        <w:numPr>
          <w:ilvl w:val="0"/>
          <w:numId w:val="3"/>
        </w:numPr>
        <w:ind w:right="-19"/>
        <w:rPr>
          <w:rFonts w:ascii="Times New Roman" w:hAnsi="Times New Roman" w:cs="Times New Roman"/>
          <w:bCs/>
        </w:rPr>
      </w:pPr>
      <w:r w:rsidRPr="00003A0F">
        <w:rPr>
          <w:rFonts w:ascii="Times New Roman" w:hAnsi="Times New Roman" w:cs="Times New Roman"/>
          <w:bCs/>
        </w:rPr>
        <w:t>DER Connection Process</w:t>
      </w:r>
      <w:r w:rsidR="000A554E">
        <w:rPr>
          <w:rFonts w:ascii="Times New Roman" w:hAnsi="Times New Roman" w:cs="Times New Roman"/>
          <w:bCs/>
        </w:rPr>
        <w:t xml:space="preserve"> </w:t>
      </w:r>
      <w:r w:rsidR="006E3B48">
        <w:rPr>
          <w:rFonts w:ascii="Times New Roman" w:hAnsi="Times New Roman" w:cs="Times New Roman"/>
          <w:bCs/>
        </w:rPr>
        <w:t xml:space="preserve">– </w:t>
      </w:r>
      <w:r w:rsidR="00CF40C4">
        <w:rPr>
          <w:rFonts w:ascii="Times New Roman" w:hAnsi="Times New Roman" w:cs="Times New Roman"/>
          <w:bCs/>
        </w:rPr>
        <w:t>Includes</w:t>
      </w:r>
      <w:r w:rsidR="006E3B48">
        <w:rPr>
          <w:rFonts w:ascii="Times New Roman" w:hAnsi="Times New Roman" w:cs="Times New Roman"/>
          <w:bCs/>
        </w:rPr>
        <w:t xml:space="preserve"> Technical Interconnection Requirements and Sample Protection Philosophy</w:t>
      </w:r>
    </w:p>
    <w:p w14:paraId="6AEEF1CF" w14:textId="6E1130CF" w:rsidR="00FB07F8" w:rsidRPr="00003A0F" w:rsidRDefault="002E39DD" w:rsidP="00003A0F">
      <w:pPr>
        <w:pStyle w:val="ListParagraph"/>
        <w:numPr>
          <w:ilvl w:val="0"/>
          <w:numId w:val="3"/>
        </w:numPr>
        <w:ind w:right="-19"/>
        <w:rPr>
          <w:rFonts w:ascii="Times New Roman" w:hAnsi="Times New Roman" w:cs="Times New Roman"/>
          <w:bCs/>
        </w:rPr>
      </w:pPr>
      <w:r w:rsidRPr="00003A0F">
        <w:rPr>
          <w:rFonts w:ascii="Times New Roman" w:hAnsi="Times New Roman" w:cs="Times New Roman"/>
          <w:bCs/>
        </w:rPr>
        <w:t>DER Restricted Feeder and Generation Capacity Limits</w:t>
      </w:r>
    </w:p>
    <w:p w14:paraId="20CCD019" w14:textId="77777777" w:rsidR="000A554E" w:rsidRDefault="002E39DD" w:rsidP="00003A0F">
      <w:pPr>
        <w:pStyle w:val="ListParagraph"/>
        <w:numPr>
          <w:ilvl w:val="0"/>
          <w:numId w:val="3"/>
        </w:numPr>
        <w:ind w:right="-19"/>
        <w:rPr>
          <w:rFonts w:ascii="Times New Roman" w:hAnsi="Times New Roman" w:cs="Times New Roman"/>
          <w:bCs/>
        </w:rPr>
      </w:pPr>
      <w:r w:rsidRPr="00003A0F">
        <w:rPr>
          <w:rFonts w:ascii="Times New Roman" w:hAnsi="Times New Roman" w:cs="Times New Roman"/>
          <w:bCs/>
        </w:rPr>
        <w:t xml:space="preserve">DER Connection Agreement – Micro-Embedded Generation Facility </w:t>
      </w:r>
    </w:p>
    <w:p w14:paraId="6AEEF1D0" w14:textId="28007120" w:rsidR="00FB07F8" w:rsidRPr="00B002A2" w:rsidRDefault="002E39DD" w:rsidP="00003A0F">
      <w:pPr>
        <w:pStyle w:val="ListParagraph"/>
        <w:numPr>
          <w:ilvl w:val="0"/>
          <w:numId w:val="3"/>
        </w:numPr>
        <w:ind w:right="-19"/>
        <w:rPr>
          <w:rFonts w:ascii="Times New Roman" w:hAnsi="Times New Roman" w:cs="Times New Roman"/>
          <w:bCs/>
        </w:rPr>
      </w:pPr>
      <w:r w:rsidRPr="00B002A2">
        <w:rPr>
          <w:rFonts w:ascii="Times New Roman" w:hAnsi="Times New Roman" w:cs="Times New Roman"/>
          <w:bCs/>
        </w:rPr>
        <w:t xml:space="preserve">DER Connection Agreement – Small &amp; Medium Size Generation Facility </w:t>
      </w:r>
    </w:p>
    <w:p w14:paraId="6AEEF1D1" w14:textId="77777777" w:rsidR="00FB07F8" w:rsidRPr="00DA2970" w:rsidRDefault="00FB07F8">
      <w:pPr>
        <w:pStyle w:val="BodyText"/>
        <w:spacing w:before="2"/>
        <w:rPr>
          <w:rFonts w:ascii="Times New Roman" w:hAnsi="Times New Roman" w:cs="Times New Roman"/>
          <w:sz w:val="20"/>
          <w:szCs w:val="16"/>
        </w:rPr>
      </w:pPr>
    </w:p>
    <w:p w14:paraId="6AEEF1D2" w14:textId="77777777" w:rsidR="00FB07F8" w:rsidRPr="00B002A2" w:rsidRDefault="002E39DD" w:rsidP="00B002A2">
      <w:pPr>
        <w:pStyle w:val="Heading1"/>
        <w:tabs>
          <w:tab w:val="left" w:pos="419"/>
        </w:tabs>
        <w:spacing w:after="120"/>
        <w:ind w:left="142" w:firstLine="0"/>
        <w:rPr>
          <w:rFonts w:ascii="Times New Roman" w:hAnsi="Times New Roman" w:cs="Times New Roman"/>
          <w:color w:val="0F7E3E"/>
        </w:rPr>
      </w:pPr>
      <w:r w:rsidRPr="00B002A2">
        <w:rPr>
          <w:rFonts w:ascii="Times New Roman" w:hAnsi="Times New Roman" w:cs="Times New Roman"/>
          <w:color w:val="0F7E3E"/>
        </w:rPr>
        <w:t>Process for Connecting Distributed Energy Resources</w:t>
      </w:r>
    </w:p>
    <w:p w14:paraId="6AEEF1D4" w14:textId="40A37803" w:rsidR="00FB07F8" w:rsidRDefault="002E39DD">
      <w:pPr>
        <w:pStyle w:val="BodyText"/>
        <w:spacing w:before="1" w:line="266" w:lineRule="exact"/>
        <w:ind w:left="139"/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 xml:space="preserve">Refer to document </w:t>
      </w:r>
      <w:r w:rsidR="00907792">
        <w:rPr>
          <w:rFonts w:ascii="Times New Roman" w:hAnsi="Times New Roman" w:cs="Times New Roman"/>
        </w:rPr>
        <w:t>“</w:t>
      </w:r>
      <w:r w:rsidRPr="00907792">
        <w:rPr>
          <w:rFonts w:ascii="Times New Roman" w:hAnsi="Times New Roman" w:cs="Times New Roman"/>
          <w:i/>
          <w:iCs/>
        </w:rPr>
        <w:t>DER Connection Process</w:t>
      </w:r>
      <w:r w:rsidR="00907792">
        <w:rPr>
          <w:rFonts w:ascii="Times New Roman" w:hAnsi="Times New Roman" w:cs="Times New Roman"/>
        </w:rPr>
        <w:t>”</w:t>
      </w:r>
      <w:r w:rsidRPr="0098382D">
        <w:rPr>
          <w:rFonts w:ascii="Times New Roman" w:hAnsi="Times New Roman" w:cs="Times New Roman"/>
        </w:rPr>
        <w:t xml:space="preserve"> for detailed </w:t>
      </w:r>
      <w:r w:rsidR="00907792">
        <w:rPr>
          <w:rFonts w:ascii="Times New Roman" w:hAnsi="Times New Roman" w:cs="Times New Roman"/>
        </w:rPr>
        <w:t xml:space="preserve">information on the steps </w:t>
      </w:r>
      <w:r w:rsidR="00D34353">
        <w:rPr>
          <w:rFonts w:ascii="Times New Roman" w:hAnsi="Times New Roman" w:cs="Times New Roman"/>
        </w:rPr>
        <w:t xml:space="preserve">followed for various types of DER connection application, </w:t>
      </w:r>
      <w:r w:rsidRPr="0098382D">
        <w:rPr>
          <w:rFonts w:ascii="Times New Roman" w:hAnsi="Times New Roman" w:cs="Times New Roman"/>
        </w:rPr>
        <w:t xml:space="preserve">the process of connecting </w:t>
      </w:r>
      <w:r w:rsidR="00D34353">
        <w:rPr>
          <w:rFonts w:ascii="Times New Roman" w:hAnsi="Times New Roman" w:cs="Times New Roman"/>
        </w:rPr>
        <w:t xml:space="preserve">DERs </w:t>
      </w:r>
      <w:r w:rsidRPr="0098382D">
        <w:rPr>
          <w:rFonts w:ascii="Times New Roman" w:hAnsi="Times New Roman" w:cs="Times New Roman"/>
        </w:rPr>
        <w:t xml:space="preserve">to </w:t>
      </w:r>
      <w:r w:rsidR="00D34353">
        <w:rPr>
          <w:rFonts w:ascii="Times New Roman" w:hAnsi="Times New Roman" w:cs="Times New Roman"/>
        </w:rPr>
        <w:t>Hearst Power</w:t>
      </w:r>
      <w:r w:rsidRPr="0098382D">
        <w:rPr>
          <w:rFonts w:ascii="Times New Roman" w:hAnsi="Times New Roman" w:cs="Times New Roman"/>
        </w:rPr>
        <w:t>’s distribution system</w:t>
      </w:r>
      <w:r w:rsidR="00D34353">
        <w:rPr>
          <w:rFonts w:ascii="Times New Roman" w:hAnsi="Times New Roman" w:cs="Times New Roman"/>
        </w:rPr>
        <w:t xml:space="preserve">, </w:t>
      </w:r>
      <w:r w:rsidR="00445FDF">
        <w:rPr>
          <w:rFonts w:ascii="Times New Roman" w:hAnsi="Times New Roman" w:cs="Times New Roman"/>
        </w:rPr>
        <w:t xml:space="preserve">a sample protection </w:t>
      </w:r>
      <w:r w:rsidR="00DF6F35">
        <w:rPr>
          <w:rFonts w:ascii="Times New Roman" w:hAnsi="Times New Roman" w:cs="Times New Roman"/>
        </w:rPr>
        <w:t>philosophy,</w:t>
      </w:r>
      <w:r w:rsidR="00445FDF">
        <w:rPr>
          <w:rFonts w:ascii="Times New Roman" w:hAnsi="Times New Roman" w:cs="Times New Roman"/>
        </w:rPr>
        <w:t xml:space="preserve"> and a reference to the relevant technical interconnection requirements</w:t>
      </w:r>
      <w:r w:rsidRPr="0098382D">
        <w:rPr>
          <w:rFonts w:ascii="Times New Roman" w:hAnsi="Times New Roman" w:cs="Times New Roman"/>
        </w:rPr>
        <w:t>.</w:t>
      </w:r>
    </w:p>
    <w:p w14:paraId="5F5FF349" w14:textId="77777777" w:rsidR="00FE54AC" w:rsidRPr="00DA2970" w:rsidRDefault="00FE54AC">
      <w:pPr>
        <w:pStyle w:val="BodyText"/>
        <w:spacing w:before="1" w:line="266" w:lineRule="exact"/>
        <w:ind w:left="139"/>
        <w:rPr>
          <w:rFonts w:ascii="Times New Roman" w:hAnsi="Times New Roman" w:cs="Times New Roman"/>
          <w:sz w:val="20"/>
          <w:szCs w:val="20"/>
        </w:rPr>
      </w:pPr>
    </w:p>
    <w:p w14:paraId="0F13B223" w14:textId="77777777" w:rsidR="00FE54AC" w:rsidRPr="00FE54AC" w:rsidRDefault="00FE54AC" w:rsidP="00FE54AC">
      <w:pPr>
        <w:pStyle w:val="Heading1"/>
        <w:tabs>
          <w:tab w:val="left" w:pos="419"/>
        </w:tabs>
        <w:spacing w:after="120"/>
        <w:ind w:left="142" w:firstLine="0"/>
        <w:rPr>
          <w:rFonts w:ascii="Times New Roman" w:hAnsi="Times New Roman" w:cs="Times New Roman"/>
          <w:color w:val="0F7E3E"/>
        </w:rPr>
      </w:pPr>
      <w:r w:rsidRPr="00FE54AC">
        <w:rPr>
          <w:rFonts w:ascii="Times New Roman" w:hAnsi="Times New Roman" w:cs="Times New Roman"/>
          <w:color w:val="0F7E3E"/>
        </w:rPr>
        <w:t>Standard Contractual Terms</w:t>
      </w:r>
    </w:p>
    <w:p w14:paraId="49CD50D1" w14:textId="29145DC2" w:rsidR="00FE54AC" w:rsidRPr="0098382D" w:rsidRDefault="00FE54AC" w:rsidP="00FE54AC">
      <w:pPr>
        <w:pStyle w:val="BodyText"/>
        <w:spacing w:before="1"/>
        <w:ind w:left="140"/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>Refer to the following document</w:t>
      </w:r>
      <w:r w:rsidR="00313B67">
        <w:rPr>
          <w:rFonts w:ascii="Times New Roman" w:hAnsi="Times New Roman" w:cs="Times New Roman"/>
        </w:rPr>
        <w:t>s</w:t>
      </w:r>
      <w:r w:rsidRPr="0098382D">
        <w:rPr>
          <w:rFonts w:ascii="Times New Roman" w:hAnsi="Times New Roman" w:cs="Times New Roman"/>
        </w:rPr>
        <w:t xml:space="preserve"> for standard contractual terms:</w:t>
      </w:r>
    </w:p>
    <w:p w14:paraId="3F8DE352" w14:textId="0D5D9759" w:rsidR="00FE54AC" w:rsidRPr="0098382D" w:rsidRDefault="00FE54AC" w:rsidP="00FE54AC">
      <w:pPr>
        <w:pStyle w:val="ListParagraph"/>
        <w:numPr>
          <w:ilvl w:val="1"/>
          <w:numId w:val="2"/>
        </w:numPr>
        <w:tabs>
          <w:tab w:val="left" w:pos="859"/>
          <w:tab w:val="left" w:pos="860"/>
        </w:tabs>
        <w:spacing w:before="1"/>
        <w:ind w:left="859" w:hanging="360"/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>DER Connection Agreement – Micro-Embedded Generation</w:t>
      </w:r>
      <w:r w:rsidRPr="0098382D">
        <w:rPr>
          <w:rFonts w:ascii="Times New Roman" w:hAnsi="Times New Roman" w:cs="Times New Roman"/>
          <w:spacing w:val="-24"/>
        </w:rPr>
        <w:t xml:space="preserve"> </w:t>
      </w:r>
      <w:r w:rsidRPr="0098382D">
        <w:rPr>
          <w:rFonts w:ascii="Times New Roman" w:hAnsi="Times New Roman" w:cs="Times New Roman"/>
        </w:rPr>
        <w:t>Facility</w:t>
      </w:r>
    </w:p>
    <w:p w14:paraId="41569F33" w14:textId="5A83E9D4" w:rsidR="00FE54AC" w:rsidRPr="0098382D" w:rsidRDefault="00FE54AC" w:rsidP="00FE54AC">
      <w:pPr>
        <w:pStyle w:val="ListParagraph"/>
        <w:numPr>
          <w:ilvl w:val="1"/>
          <w:numId w:val="2"/>
        </w:numPr>
        <w:tabs>
          <w:tab w:val="left" w:pos="859"/>
          <w:tab w:val="left" w:pos="860"/>
        </w:tabs>
        <w:ind w:left="859" w:hanging="360"/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>DER Connection Agreement – Small &amp; Medium Size Generation</w:t>
      </w:r>
      <w:r w:rsidRPr="0098382D">
        <w:rPr>
          <w:rFonts w:ascii="Times New Roman" w:hAnsi="Times New Roman" w:cs="Times New Roman"/>
          <w:spacing w:val="-28"/>
        </w:rPr>
        <w:t xml:space="preserve"> </w:t>
      </w:r>
      <w:r w:rsidRPr="0098382D">
        <w:rPr>
          <w:rFonts w:ascii="Times New Roman" w:hAnsi="Times New Roman" w:cs="Times New Roman"/>
        </w:rPr>
        <w:t>Facility</w:t>
      </w:r>
    </w:p>
    <w:p w14:paraId="2D94EAC2" w14:textId="77777777" w:rsidR="002E39DD" w:rsidRPr="00DA2970" w:rsidRDefault="002E39DD" w:rsidP="002E39DD">
      <w:pPr>
        <w:pStyle w:val="Heading1"/>
        <w:tabs>
          <w:tab w:val="left" w:pos="419"/>
        </w:tabs>
        <w:spacing w:before="1"/>
        <w:ind w:firstLine="0"/>
        <w:rPr>
          <w:rFonts w:ascii="Times New Roman" w:hAnsi="Times New Roman" w:cs="Times New Roman"/>
          <w:sz w:val="20"/>
          <w:szCs w:val="20"/>
        </w:rPr>
      </w:pPr>
    </w:p>
    <w:p w14:paraId="6AEEF1D6" w14:textId="0F904ADE" w:rsidR="00FB07F8" w:rsidRPr="002E39DD" w:rsidRDefault="002E39DD" w:rsidP="002E39DD">
      <w:pPr>
        <w:pStyle w:val="Heading1"/>
        <w:tabs>
          <w:tab w:val="left" w:pos="419"/>
        </w:tabs>
        <w:spacing w:after="120"/>
        <w:ind w:left="142" w:firstLine="0"/>
        <w:rPr>
          <w:rFonts w:ascii="Times New Roman" w:hAnsi="Times New Roman" w:cs="Times New Roman"/>
          <w:color w:val="0F7E3E"/>
        </w:rPr>
      </w:pPr>
      <w:r w:rsidRPr="002E39DD">
        <w:rPr>
          <w:rFonts w:ascii="Times New Roman" w:hAnsi="Times New Roman" w:cs="Times New Roman"/>
          <w:color w:val="0F7E3E"/>
        </w:rPr>
        <w:t>Required Approvals</w:t>
      </w:r>
    </w:p>
    <w:p w14:paraId="1C8C56A0" w14:textId="49673A5F" w:rsidR="002E39DD" w:rsidRPr="0098382D" w:rsidRDefault="002E39DD" w:rsidP="002E39DD">
      <w:pPr>
        <w:pStyle w:val="BodyText"/>
        <w:spacing w:before="1"/>
        <w:ind w:lef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Depending on the </w:t>
      </w:r>
      <w:r w:rsidR="00B5611F">
        <w:rPr>
          <w:rFonts w:ascii="Times New Roman" w:hAnsi="Times New Roman" w:cs="Times New Roman"/>
        </w:rPr>
        <w:t xml:space="preserve">size of the DER, various </w:t>
      </w:r>
      <w:r w:rsidR="0005185C">
        <w:rPr>
          <w:rFonts w:ascii="Times New Roman" w:hAnsi="Times New Roman" w:cs="Times New Roman"/>
        </w:rPr>
        <w:t>approvals may be required:</w:t>
      </w:r>
    </w:p>
    <w:p w14:paraId="6AEEF1D8" w14:textId="1FFFD565" w:rsidR="00FB07F8" w:rsidRPr="0098382D" w:rsidRDefault="002E39DD">
      <w:pPr>
        <w:pStyle w:val="ListParagraph"/>
        <w:numPr>
          <w:ilvl w:val="1"/>
          <w:numId w:val="2"/>
        </w:numPr>
        <w:tabs>
          <w:tab w:val="left" w:pos="859"/>
          <w:tab w:val="left" w:pos="861"/>
        </w:tabs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>Host distributor connection approvals (managed by</w:t>
      </w:r>
      <w:r w:rsidRPr="0098382D">
        <w:rPr>
          <w:rFonts w:ascii="Times New Roman" w:hAnsi="Times New Roman" w:cs="Times New Roman"/>
          <w:spacing w:val="-20"/>
        </w:rPr>
        <w:t xml:space="preserve"> </w:t>
      </w:r>
      <w:r w:rsidR="00FA0758">
        <w:rPr>
          <w:rFonts w:ascii="Times New Roman" w:hAnsi="Times New Roman" w:cs="Times New Roman"/>
        </w:rPr>
        <w:t>Hearst Power</w:t>
      </w:r>
      <w:r w:rsidRPr="0098382D">
        <w:rPr>
          <w:rFonts w:ascii="Times New Roman" w:hAnsi="Times New Roman" w:cs="Times New Roman"/>
        </w:rPr>
        <w:t>).</w:t>
      </w:r>
    </w:p>
    <w:p w14:paraId="6AEEF1D9" w14:textId="2C9E88B1" w:rsidR="00FB07F8" w:rsidRPr="0098382D" w:rsidRDefault="002E39DD">
      <w:pPr>
        <w:pStyle w:val="ListParagraph"/>
        <w:numPr>
          <w:ilvl w:val="1"/>
          <w:numId w:val="2"/>
        </w:numPr>
        <w:tabs>
          <w:tab w:val="left" w:pos="859"/>
          <w:tab w:val="left" w:pos="861"/>
        </w:tabs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>Transmitter connection approvals (managed by</w:t>
      </w:r>
      <w:r w:rsidRPr="0098382D">
        <w:rPr>
          <w:rFonts w:ascii="Times New Roman" w:hAnsi="Times New Roman" w:cs="Times New Roman"/>
          <w:spacing w:val="-17"/>
        </w:rPr>
        <w:t xml:space="preserve"> </w:t>
      </w:r>
      <w:r w:rsidR="00E61EFB">
        <w:rPr>
          <w:rFonts w:ascii="Times New Roman" w:hAnsi="Times New Roman" w:cs="Times New Roman"/>
        </w:rPr>
        <w:t>Hearst Power</w:t>
      </w:r>
      <w:r w:rsidRPr="0098382D">
        <w:rPr>
          <w:rFonts w:ascii="Times New Roman" w:hAnsi="Times New Roman" w:cs="Times New Roman"/>
        </w:rPr>
        <w:t>).</w:t>
      </w:r>
    </w:p>
    <w:p w14:paraId="6AEEF1DA" w14:textId="77777777" w:rsidR="00FB07F8" w:rsidRPr="0098382D" w:rsidRDefault="002E39DD">
      <w:pPr>
        <w:pStyle w:val="ListParagraph"/>
        <w:numPr>
          <w:ilvl w:val="1"/>
          <w:numId w:val="2"/>
        </w:numPr>
        <w:tabs>
          <w:tab w:val="left" w:pos="859"/>
          <w:tab w:val="left" w:pos="861"/>
        </w:tabs>
        <w:spacing w:line="279" w:lineRule="exact"/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>Electrical Safety Authority Inspection and Connection</w:t>
      </w:r>
      <w:r w:rsidRPr="0098382D">
        <w:rPr>
          <w:rFonts w:ascii="Times New Roman" w:hAnsi="Times New Roman" w:cs="Times New Roman"/>
          <w:spacing w:val="-26"/>
        </w:rPr>
        <w:t xml:space="preserve"> </w:t>
      </w:r>
      <w:r w:rsidRPr="0098382D">
        <w:rPr>
          <w:rFonts w:ascii="Times New Roman" w:hAnsi="Times New Roman" w:cs="Times New Roman"/>
        </w:rPr>
        <w:t>Authorization</w:t>
      </w:r>
    </w:p>
    <w:p w14:paraId="6AEEF1DB" w14:textId="77777777" w:rsidR="00FB07F8" w:rsidRPr="0098382D" w:rsidRDefault="002E39DD">
      <w:pPr>
        <w:pStyle w:val="ListParagraph"/>
        <w:numPr>
          <w:ilvl w:val="1"/>
          <w:numId w:val="2"/>
        </w:numPr>
        <w:tabs>
          <w:tab w:val="left" w:pos="859"/>
          <w:tab w:val="left" w:pos="861"/>
        </w:tabs>
        <w:spacing w:line="279" w:lineRule="exact"/>
        <w:rPr>
          <w:rFonts w:ascii="Times New Roman" w:hAnsi="Times New Roman" w:cs="Times New Roman"/>
        </w:rPr>
      </w:pPr>
      <w:r w:rsidRPr="0098382D">
        <w:rPr>
          <w:rFonts w:ascii="Times New Roman" w:hAnsi="Times New Roman" w:cs="Times New Roman"/>
        </w:rPr>
        <w:t>Canadian Standards Association – applicable to all equipment</w:t>
      </w:r>
      <w:r w:rsidRPr="0098382D">
        <w:rPr>
          <w:rFonts w:ascii="Times New Roman" w:hAnsi="Times New Roman" w:cs="Times New Roman"/>
          <w:spacing w:val="-29"/>
        </w:rPr>
        <w:t xml:space="preserve"> </w:t>
      </w:r>
      <w:r w:rsidRPr="0098382D">
        <w:rPr>
          <w:rFonts w:ascii="Times New Roman" w:hAnsi="Times New Roman" w:cs="Times New Roman"/>
        </w:rPr>
        <w:t>installations</w:t>
      </w:r>
    </w:p>
    <w:p w14:paraId="16707209" w14:textId="4F2502ED" w:rsidR="006E5552" w:rsidRPr="00040B90" w:rsidRDefault="002E39DD" w:rsidP="00040B90">
      <w:pPr>
        <w:pStyle w:val="ListParagraph"/>
        <w:numPr>
          <w:ilvl w:val="1"/>
          <w:numId w:val="2"/>
        </w:numPr>
        <w:tabs>
          <w:tab w:val="left" w:pos="859"/>
          <w:tab w:val="left" w:pos="861"/>
        </w:tabs>
        <w:spacing w:before="2"/>
        <w:ind w:right="117"/>
        <w:rPr>
          <w:rFonts w:ascii="Times New Roman" w:hAnsi="Times New Roman" w:cs="Times New Roman"/>
        </w:rPr>
      </w:pPr>
      <w:r w:rsidRPr="00C82366">
        <w:rPr>
          <w:rFonts w:ascii="Times New Roman" w:hAnsi="Times New Roman" w:cs="Times New Roman"/>
        </w:rPr>
        <w:t>Applicants</w:t>
      </w:r>
      <w:r w:rsidRPr="00C82366">
        <w:rPr>
          <w:rFonts w:ascii="Times New Roman" w:hAnsi="Times New Roman" w:cs="Times New Roman"/>
          <w:spacing w:val="-11"/>
        </w:rPr>
        <w:t xml:space="preserve"> </w:t>
      </w:r>
      <w:r w:rsidRPr="00C82366">
        <w:rPr>
          <w:rFonts w:ascii="Times New Roman" w:hAnsi="Times New Roman" w:cs="Times New Roman"/>
        </w:rPr>
        <w:t>are</w:t>
      </w:r>
      <w:r w:rsidRPr="00C82366">
        <w:rPr>
          <w:rFonts w:ascii="Times New Roman" w:hAnsi="Times New Roman" w:cs="Times New Roman"/>
          <w:spacing w:val="-11"/>
        </w:rPr>
        <w:t xml:space="preserve"> </w:t>
      </w:r>
      <w:r w:rsidRPr="00C82366">
        <w:rPr>
          <w:rFonts w:ascii="Times New Roman" w:hAnsi="Times New Roman" w:cs="Times New Roman"/>
        </w:rPr>
        <w:t>advised</w:t>
      </w:r>
      <w:r w:rsidRPr="00C82366">
        <w:rPr>
          <w:rFonts w:ascii="Times New Roman" w:hAnsi="Times New Roman" w:cs="Times New Roman"/>
          <w:spacing w:val="-12"/>
        </w:rPr>
        <w:t xml:space="preserve"> </w:t>
      </w:r>
      <w:r w:rsidRPr="00C82366">
        <w:rPr>
          <w:rFonts w:ascii="Times New Roman" w:hAnsi="Times New Roman" w:cs="Times New Roman"/>
        </w:rPr>
        <w:t>to</w:t>
      </w:r>
      <w:r w:rsidRPr="00C82366">
        <w:rPr>
          <w:rFonts w:ascii="Times New Roman" w:hAnsi="Times New Roman" w:cs="Times New Roman"/>
          <w:spacing w:val="-10"/>
        </w:rPr>
        <w:t xml:space="preserve"> </w:t>
      </w:r>
      <w:r w:rsidRPr="00C82366">
        <w:rPr>
          <w:rFonts w:ascii="Times New Roman" w:hAnsi="Times New Roman" w:cs="Times New Roman"/>
        </w:rPr>
        <w:t>contact</w:t>
      </w:r>
      <w:r w:rsidRPr="00C82366">
        <w:rPr>
          <w:rFonts w:ascii="Times New Roman" w:hAnsi="Times New Roman" w:cs="Times New Roman"/>
          <w:spacing w:val="-13"/>
        </w:rPr>
        <w:t xml:space="preserve"> </w:t>
      </w:r>
      <w:r w:rsidRPr="00C82366">
        <w:rPr>
          <w:rFonts w:ascii="Times New Roman" w:hAnsi="Times New Roman" w:cs="Times New Roman"/>
        </w:rPr>
        <w:t>the</w:t>
      </w:r>
      <w:r w:rsidRPr="00C82366">
        <w:rPr>
          <w:rFonts w:ascii="Times New Roman" w:hAnsi="Times New Roman" w:cs="Times New Roman"/>
          <w:spacing w:val="-11"/>
        </w:rPr>
        <w:t xml:space="preserve"> </w:t>
      </w:r>
      <w:r w:rsidRPr="00C82366">
        <w:rPr>
          <w:rFonts w:ascii="Times New Roman" w:hAnsi="Times New Roman" w:cs="Times New Roman"/>
        </w:rPr>
        <w:t>local</w:t>
      </w:r>
      <w:r w:rsidRPr="00C82366">
        <w:rPr>
          <w:rFonts w:ascii="Times New Roman" w:hAnsi="Times New Roman" w:cs="Times New Roman"/>
          <w:spacing w:val="-14"/>
        </w:rPr>
        <w:t xml:space="preserve"> </w:t>
      </w:r>
      <w:r w:rsidRPr="00C82366">
        <w:rPr>
          <w:rFonts w:ascii="Times New Roman" w:hAnsi="Times New Roman" w:cs="Times New Roman"/>
        </w:rPr>
        <w:t>municipal</w:t>
      </w:r>
      <w:r w:rsidRPr="00C82366">
        <w:rPr>
          <w:rFonts w:ascii="Times New Roman" w:hAnsi="Times New Roman" w:cs="Times New Roman"/>
          <w:spacing w:val="-12"/>
        </w:rPr>
        <w:t xml:space="preserve"> </w:t>
      </w:r>
      <w:r w:rsidRPr="00C82366">
        <w:rPr>
          <w:rFonts w:ascii="Times New Roman" w:hAnsi="Times New Roman" w:cs="Times New Roman"/>
        </w:rPr>
        <w:t>office</w:t>
      </w:r>
      <w:r w:rsidRPr="00C82366">
        <w:rPr>
          <w:rFonts w:ascii="Times New Roman" w:hAnsi="Times New Roman" w:cs="Times New Roman"/>
          <w:spacing w:val="-11"/>
        </w:rPr>
        <w:t xml:space="preserve"> </w:t>
      </w:r>
      <w:r w:rsidRPr="00C82366">
        <w:rPr>
          <w:rFonts w:ascii="Times New Roman" w:hAnsi="Times New Roman" w:cs="Times New Roman"/>
        </w:rPr>
        <w:t>for</w:t>
      </w:r>
      <w:r w:rsidRPr="00C82366">
        <w:rPr>
          <w:rFonts w:ascii="Times New Roman" w:hAnsi="Times New Roman" w:cs="Times New Roman"/>
          <w:spacing w:val="-14"/>
        </w:rPr>
        <w:t xml:space="preserve"> </w:t>
      </w:r>
      <w:r w:rsidRPr="00C82366">
        <w:rPr>
          <w:rFonts w:ascii="Times New Roman" w:hAnsi="Times New Roman" w:cs="Times New Roman"/>
        </w:rPr>
        <w:t>site</w:t>
      </w:r>
      <w:r w:rsidRPr="00C82366">
        <w:rPr>
          <w:rFonts w:ascii="Times New Roman" w:hAnsi="Times New Roman" w:cs="Times New Roman"/>
          <w:spacing w:val="-13"/>
        </w:rPr>
        <w:t xml:space="preserve"> </w:t>
      </w:r>
      <w:r w:rsidRPr="00C82366">
        <w:rPr>
          <w:rFonts w:ascii="Times New Roman" w:hAnsi="Times New Roman" w:cs="Times New Roman"/>
        </w:rPr>
        <w:t>restrictions,</w:t>
      </w:r>
      <w:r w:rsidRPr="00C82366">
        <w:rPr>
          <w:rFonts w:ascii="Times New Roman" w:hAnsi="Times New Roman" w:cs="Times New Roman"/>
          <w:spacing w:val="-11"/>
        </w:rPr>
        <w:t xml:space="preserve"> </w:t>
      </w:r>
      <w:r w:rsidRPr="00C82366">
        <w:rPr>
          <w:rFonts w:ascii="Times New Roman" w:hAnsi="Times New Roman" w:cs="Times New Roman"/>
        </w:rPr>
        <w:t>building</w:t>
      </w:r>
      <w:r w:rsidRPr="00C82366">
        <w:rPr>
          <w:rFonts w:ascii="Times New Roman" w:hAnsi="Times New Roman" w:cs="Times New Roman"/>
          <w:spacing w:val="-12"/>
        </w:rPr>
        <w:t xml:space="preserve"> </w:t>
      </w:r>
      <w:r w:rsidRPr="00C82366">
        <w:rPr>
          <w:rFonts w:ascii="Times New Roman" w:hAnsi="Times New Roman" w:cs="Times New Roman"/>
        </w:rPr>
        <w:t>codes</w:t>
      </w:r>
      <w:r w:rsidRPr="00C82366">
        <w:rPr>
          <w:rFonts w:ascii="Times New Roman" w:hAnsi="Times New Roman" w:cs="Times New Roman"/>
          <w:spacing w:val="-11"/>
        </w:rPr>
        <w:t xml:space="preserve"> </w:t>
      </w:r>
      <w:r w:rsidRPr="00C82366">
        <w:rPr>
          <w:rFonts w:ascii="Times New Roman" w:hAnsi="Times New Roman" w:cs="Times New Roman"/>
          <w:spacing w:val="-3"/>
        </w:rPr>
        <w:t xml:space="preserve">and </w:t>
      </w:r>
      <w:r w:rsidRPr="00C82366">
        <w:rPr>
          <w:rFonts w:ascii="Times New Roman" w:hAnsi="Times New Roman" w:cs="Times New Roman"/>
        </w:rPr>
        <w:t>other applicable codes and</w:t>
      </w:r>
      <w:r w:rsidRPr="00C82366">
        <w:rPr>
          <w:rFonts w:ascii="Times New Roman" w:hAnsi="Times New Roman" w:cs="Times New Roman"/>
          <w:spacing w:val="-11"/>
        </w:rPr>
        <w:t xml:space="preserve"> </w:t>
      </w:r>
      <w:r w:rsidRPr="00C82366">
        <w:rPr>
          <w:rFonts w:ascii="Times New Roman" w:hAnsi="Times New Roman" w:cs="Times New Roman"/>
        </w:rPr>
        <w:t>by-laws.</w:t>
      </w:r>
      <w:r w:rsidR="006E5552" w:rsidRPr="00040B90">
        <w:rPr>
          <w:rFonts w:ascii="Times New Roman" w:hAnsi="Times New Roman" w:cs="Times New Roman"/>
        </w:rPr>
        <w:tab/>
      </w:r>
    </w:p>
    <w:p w14:paraId="4B0DE3BB" w14:textId="77777777" w:rsidR="006E5552" w:rsidRPr="006E5552" w:rsidRDefault="006E5552" w:rsidP="006E5552"/>
    <w:p w14:paraId="0C13EED2" w14:textId="77777777" w:rsidR="006E5552" w:rsidRPr="006E5552" w:rsidRDefault="006E5552" w:rsidP="006E5552"/>
    <w:sectPr w:rsidR="006E5552" w:rsidRPr="006E5552" w:rsidSect="00C82366">
      <w:headerReference w:type="default" r:id="rId9"/>
      <w:footerReference w:type="default" r:id="rId10"/>
      <w:pgSz w:w="12240" w:h="15840"/>
      <w:pgMar w:top="1701" w:right="720" w:bottom="720" w:left="720" w:header="615" w:footer="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BB4D7" w14:textId="77777777" w:rsidR="00CB3E81" w:rsidRDefault="00CB3E81">
      <w:r>
        <w:separator/>
      </w:r>
    </w:p>
  </w:endnote>
  <w:endnote w:type="continuationSeparator" w:id="0">
    <w:p w14:paraId="7D9B5DC1" w14:textId="77777777" w:rsidR="00CB3E81" w:rsidRDefault="00CB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2"/>
      <w:gridCol w:w="4542"/>
      <w:gridCol w:w="3672"/>
    </w:tblGrid>
    <w:tr w:rsidR="000E5BD4" w14:paraId="6142D8F7" w14:textId="77777777" w:rsidTr="00903AF6">
      <w:tc>
        <w:tcPr>
          <w:tcW w:w="2802" w:type="dxa"/>
        </w:tcPr>
        <w:p w14:paraId="7E8B980B" w14:textId="230CB28B" w:rsidR="000E5BD4" w:rsidRPr="008C44ED" w:rsidRDefault="000E5BD4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Revision: 00</w:t>
          </w:r>
        </w:p>
      </w:tc>
      <w:tc>
        <w:tcPr>
          <w:tcW w:w="4542" w:type="dxa"/>
        </w:tcPr>
        <w:p w14:paraId="4C54CE50" w14:textId="40EF6BA6" w:rsidR="000E5BD4" w:rsidRPr="008C44ED" w:rsidRDefault="000E5BD4" w:rsidP="007C5B4F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Hearst Power Distribution Co. Ltd.</w:t>
          </w:r>
        </w:p>
      </w:tc>
      <w:tc>
        <w:tcPr>
          <w:tcW w:w="3672" w:type="dxa"/>
        </w:tcPr>
        <w:p w14:paraId="6C7BB7B0" w14:textId="331AAB5C" w:rsidR="000E5BD4" w:rsidRPr="008C44ED" w:rsidRDefault="00426690" w:rsidP="007C5B4F">
          <w:pPr>
            <w:pStyle w:val="Footer"/>
            <w:jc w:val="right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 xml:space="preserve">Page </w:t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fldChar w:fldCharType="begin"/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instrText xml:space="preserve"> PAGE   \* MERGEFORMAT </w:instrText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fldChar w:fldCharType="separate"/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1</w:t>
          </w: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fldChar w:fldCharType="end"/>
          </w:r>
        </w:p>
      </w:tc>
    </w:tr>
    <w:tr w:rsidR="000E5BD4" w14:paraId="0AF4EDCC" w14:textId="77777777" w:rsidTr="00903AF6">
      <w:tc>
        <w:tcPr>
          <w:tcW w:w="2802" w:type="dxa"/>
        </w:tcPr>
        <w:p w14:paraId="5C8A69A6" w14:textId="49B8C30F" w:rsidR="000E5BD4" w:rsidRPr="008C44ED" w:rsidRDefault="000E5BD4" w:rsidP="00A73DD4">
          <w:pPr>
            <w:pStyle w:val="Footer"/>
            <w:tabs>
              <w:tab w:val="clear" w:pos="4680"/>
              <w:tab w:val="clear" w:pos="9360"/>
              <w:tab w:val="right" w:pos="2586"/>
            </w:tabs>
            <w:rPr>
              <w:rFonts w:ascii="Times New Roman" w:hAnsi="Times New Roman" w:cs="Times New Roman"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 xml:space="preserve">Date: </w:t>
          </w:r>
          <w:r w:rsidR="007C5B4F" w:rsidRPr="008C44ED">
            <w:rPr>
              <w:rFonts w:ascii="Times New Roman" w:hAnsi="Times New Roman" w:cs="Times New Roman"/>
              <w:bCs/>
              <w:sz w:val="18"/>
              <w:szCs w:val="18"/>
            </w:rPr>
            <w:t>2025-Jan-02</w:t>
          </w:r>
          <w:r w:rsidRPr="008C44ED">
            <w:rPr>
              <w:rFonts w:ascii="Times New Roman" w:hAnsi="Times New Roman" w:cs="Times New Roman"/>
              <w:sz w:val="18"/>
              <w:szCs w:val="18"/>
            </w:rPr>
            <w:t xml:space="preserve"> </w:t>
          </w:r>
          <w:r w:rsidR="00A73DD4">
            <w:rPr>
              <w:rFonts w:ascii="Times New Roman" w:hAnsi="Times New Roman" w:cs="Times New Roman"/>
              <w:sz w:val="18"/>
              <w:szCs w:val="18"/>
            </w:rPr>
            <w:tab/>
          </w:r>
        </w:p>
      </w:tc>
      <w:tc>
        <w:tcPr>
          <w:tcW w:w="4542" w:type="dxa"/>
        </w:tcPr>
        <w:p w14:paraId="4503F10D" w14:textId="04F403FF" w:rsidR="000E5BD4" w:rsidRPr="008C44ED" w:rsidRDefault="000E5BD4" w:rsidP="000E5BD4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>925 Alexandra St., P.O. bag 5000, Hearst, ON, P0L 1N0</w:t>
          </w:r>
        </w:p>
      </w:tc>
      <w:tc>
        <w:tcPr>
          <w:tcW w:w="3672" w:type="dxa"/>
        </w:tcPr>
        <w:p w14:paraId="43436134" w14:textId="77777777" w:rsidR="000E5BD4" w:rsidRPr="008C44ED" w:rsidRDefault="000E5BD4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0E5BD4" w14:paraId="61200784" w14:textId="77777777" w:rsidTr="00903AF6">
      <w:tc>
        <w:tcPr>
          <w:tcW w:w="2802" w:type="dxa"/>
        </w:tcPr>
        <w:p w14:paraId="71535FC8" w14:textId="77777777" w:rsidR="000E5BD4" w:rsidRPr="008C44ED" w:rsidRDefault="000E5BD4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4542" w:type="dxa"/>
        </w:tcPr>
        <w:p w14:paraId="268E7019" w14:textId="6C19D90B" w:rsidR="000E5BD4" w:rsidRPr="008C44ED" w:rsidRDefault="000E5BD4" w:rsidP="000E5BD4">
          <w:pPr>
            <w:ind w:left="140" w:right="-19"/>
            <w:jc w:val="center"/>
            <w:rPr>
              <w:rFonts w:ascii="Times New Roman" w:hAnsi="Times New Roman" w:cs="Times New Roman"/>
              <w:bCs/>
              <w:sz w:val="18"/>
              <w:szCs w:val="18"/>
            </w:rPr>
          </w:pPr>
          <w:r w:rsidRPr="008C44ED">
            <w:rPr>
              <w:rFonts w:ascii="Times New Roman" w:hAnsi="Times New Roman" w:cs="Times New Roman"/>
              <w:bCs/>
              <w:sz w:val="18"/>
              <w:szCs w:val="18"/>
            </w:rPr>
            <w:t xml:space="preserve">Tel: 705-372-2815; </w:t>
          </w:r>
          <w:hyperlink r:id="rId1" w:history="1">
            <w:r w:rsidRPr="008C44ED">
              <w:rPr>
                <w:rStyle w:val="Hyperlink"/>
                <w:rFonts w:ascii="Times New Roman" w:hAnsi="Times New Roman" w:cs="Times New Roman"/>
                <w:bCs/>
                <w:sz w:val="18"/>
                <w:szCs w:val="18"/>
              </w:rPr>
              <w:t>www.hearstpower.com</w:t>
            </w:r>
          </w:hyperlink>
        </w:p>
      </w:tc>
      <w:tc>
        <w:tcPr>
          <w:tcW w:w="3672" w:type="dxa"/>
        </w:tcPr>
        <w:p w14:paraId="416F2D0C" w14:textId="77777777" w:rsidR="000E5BD4" w:rsidRPr="008C44ED" w:rsidRDefault="000E5BD4">
          <w:pPr>
            <w:pStyle w:val="Footer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663E896A" w14:textId="77777777" w:rsidR="000A73AD" w:rsidRDefault="000A73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47D81" w14:textId="77777777" w:rsidR="00CB3E81" w:rsidRDefault="00CB3E81">
      <w:r>
        <w:separator/>
      </w:r>
    </w:p>
  </w:footnote>
  <w:footnote w:type="continuationSeparator" w:id="0">
    <w:p w14:paraId="38E1618E" w14:textId="77777777" w:rsidR="00CB3E81" w:rsidRDefault="00CB3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74138" w14:textId="0CD21C1F" w:rsidR="00C25A88" w:rsidRPr="00B15FD7" w:rsidRDefault="00C25A88" w:rsidP="00C25A88">
    <w:pPr>
      <w:spacing w:line="428" w:lineRule="exact"/>
      <w:ind w:left="3" w:right="3"/>
      <w:jc w:val="center"/>
      <w:rPr>
        <w:rFonts w:ascii="Times New Roman" w:hAnsi="Times New Roman" w:cs="Times New Roman"/>
        <w:b/>
        <w:color w:val="0F7E3E"/>
        <w:sz w:val="36"/>
        <w:szCs w:val="20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264B0326" wp14:editId="58FE737A">
          <wp:simplePos x="0" y="0"/>
          <wp:positionH relativeFrom="column">
            <wp:posOffset>0</wp:posOffset>
          </wp:positionH>
          <wp:positionV relativeFrom="paragraph">
            <wp:posOffset>-221615</wp:posOffset>
          </wp:positionV>
          <wp:extent cx="593090" cy="802640"/>
          <wp:effectExtent l="0" t="0" r="0" b="0"/>
          <wp:wrapSquare wrapText="bothSides"/>
          <wp:docPr id="1303030711" name="Picture 1303030711" descr="A green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839172" name="Picture 771839172" descr="A green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5FD7">
      <w:rPr>
        <w:rFonts w:ascii="Times New Roman" w:hAnsi="Times New Roman" w:cs="Times New Roman"/>
        <w:b/>
        <w:color w:val="0F7E3E"/>
        <w:sz w:val="36"/>
        <w:szCs w:val="20"/>
      </w:rPr>
      <w:t>H</w:t>
    </w:r>
    <w:r w:rsidR="00E51F0E">
      <w:rPr>
        <w:rFonts w:ascii="Times New Roman" w:hAnsi="Times New Roman" w:cs="Times New Roman"/>
        <w:b/>
        <w:color w:val="0F7E3E"/>
        <w:sz w:val="36"/>
        <w:szCs w:val="20"/>
      </w:rPr>
      <w:t>earst</w:t>
    </w:r>
    <w:r w:rsidRPr="00B15FD7">
      <w:rPr>
        <w:rFonts w:ascii="Times New Roman" w:hAnsi="Times New Roman" w:cs="Times New Roman"/>
        <w:b/>
        <w:color w:val="0F7E3E"/>
        <w:sz w:val="36"/>
        <w:szCs w:val="20"/>
      </w:rPr>
      <w:t xml:space="preserve"> Power Distribution Co. Ltd.</w:t>
    </w:r>
  </w:p>
  <w:p w14:paraId="269DE680" w14:textId="536DB648" w:rsidR="00C25A88" w:rsidRPr="00B15FD7" w:rsidRDefault="00C25A88" w:rsidP="00C25A88">
    <w:pPr>
      <w:spacing w:line="428" w:lineRule="exact"/>
      <w:ind w:left="3" w:right="3"/>
      <w:jc w:val="center"/>
      <w:rPr>
        <w:rFonts w:ascii="Times New Roman" w:hAnsi="Times New Roman" w:cs="Times New Roman"/>
        <w:b/>
        <w:color w:val="0F7E3E"/>
        <w:sz w:val="36"/>
        <w:szCs w:val="20"/>
      </w:rPr>
    </w:pPr>
    <w:r w:rsidRPr="00B15FD7">
      <w:rPr>
        <w:rFonts w:ascii="Times New Roman" w:hAnsi="Times New Roman" w:cs="Times New Roman"/>
        <w:b/>
        <w:color w:val="0F7E3E"/>
        <w:sz w:val="36"/>
        <w:szCs w:val="20"/>
      </w:rPr>
      <w:t>Generation Connection Information Package</w:t>
    </w:r>
  </w:p>
  <w:p w14:paraId="6AEEF1FE" w14:textId="5549AA43" w:rsidR="00FB07F8" w:rsidRDefault="00FB07F8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1B788D"/>
    <w:multiLevelType w:val="hybridMultilevel"/>
    <w:tmpl w:val="01F42DC2"/>
    <w:lvl w:ilvl="0" w:tplc="E294FE54">
      <w:start w:val="1"/>
      <w:numFmt w:val="decimal"/>
      <w:lvlText w:val="%1."/>
      <w:lvlJc w:val="left"/>
      <w:pPr>
        <w:ind w:left="418" w:hanging="279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</w:rPr>
    </w:lvl>
    <w:lvl w:ilvl="1" w:tplc="7B18CD2E">
      <w:numFmt w:val="bullet"/>
      <w:lvlText w:val=""/>
      <w:lvlJc w:val="left"/>
      <w:pPr>
        <w:ind w:left="860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79E46BA">
      <w:numFmt w:val="bullet"/>
      <w:lvlText w:val="•"/>
      <w:lvlJc w:val="left"/>
      <w:pPr>
        <w:ind w:left="1833" w:hanging="361"/>
      </w:pPr>
      <w:rPr>
        <w:rFonts w:hint="default"/>
      </w:rPr>
    </w:lvl>
    <w:lvl w:ilvl="3" w:tplc="99444B3C">
      <w:numFmt w:val="bullet"/>
      <w:lvlText w:val="•"/>
      <w:lvlJc w:val="left"/>
      <w:pPr>
        <w:ind w:left="2806" w:hanging="361"/>
      </w:pPr>
      <w:rPr>
        <w:rFonts w:hint="default"/>
      </w:rPr>
    </w:lvl>
    <w:lvl w:ilvl="4" w:tplc="B9DA7226">
      <w:numFmt w:val="bullet"/>
      <w:lvlText w:val="•"/>
      <w:lvlJc w:val="left"/>
      <w:pPr>
        <w:ind w:left="3780" w:hanging="361"/>
      </w:pPr>
      <w:rPr>
        <w:rFonts w:hint="default"/>
      </w:rPr>
    </w:lvl>
    <w:lvl w:ilvl="5" w:tplc="7CA4358A">
      <w:numFmt w:val="bullet"/>
      <w:lvlText w:val="•"/>
      <w:lvlJc w:val="left"/>
      <w:pPr>
        <w:ind w:left="4753" w:hanging="361"/>
      </w:pPr>
      <w:rPr>
        <w:rFonts w:hint="default"/>
      </w:rPr>
    </w:lvl>
    <w:lvl w:ilvl="6" w:tplc="4C84CB46">
      <w:numFmt w:val="bullet"/>
      <w:lvlText w:val="•"/>
      <w:lvlJc w:val="left"/>
      <w:pPr>
        <w:ind w:left="5726" w:hanging="361"/>
      </w:pPr>
      <w:rPr>
        <w:rFonts w:hint="default"/>
      </w:rPr>
    </w:lvl>
    <w:lvl w:ilvl="7" w:tplc="CEAC3D92">
      <w:numFmt w:val="bullet"/>
      <w:lvlText w:val="•"/>
      <w:lvlJc w:val="left"/>
      <w:pPr>
        <w:ind w:left="6700" w:hanging="361"/>
      </w:pPr>
      <w:rPr>
        <w:rFonts w:hint="default"/>
      </w:rPr>
    </w:lvl>
    <w:lvl w:ilvl="8" w:tplc="6BAAED20">
      <w:numFmt w:val="bullet"/>
      <w:lvlText w:val="•"/>
      <w:lvlJc w:val="left"/>
      <w:pPr>
        <w:ind w:left="7673" w:hanging="361"/>
      </w:pPr>
      <w:rPr>
        <w:rFonts w:hint="default"/>
      </w:rPr>
    </w:lvl>
  </w:abstractNum>
  <w:abstractNum w:abstractNumId="1" w15:restartNumberingAfterBreak="0">
    <w:nsid w:val="4B8611B2"/>
    <w:multiLevelType w:val="hybridMultilevel"/>
    <w:tmpl w:val="18CE1C92"/>
    <w:lvl w:ilvl="0" w:tplc="10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" w15:restartNumberingAfterBreak="0">
    <w:nsid w:val="6BBC4EA3"/>
    <w:multiLevelType w:val="multilevel"/>
    <w:tmpl w:val="4B521B70"/>
    <w:lvl w:ilvl="0">
      <w:start w:val="6"/>
      <w:numFmt w:val="decimal"/>
      <w:lvlText w:val="%1"/>
      <w:lvlJc w:val="left"/>
      <w:pPr>
        <w:ind w:left="860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721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2">
      <w:numFmt w:val="bullet"/>
      <w:lvlText w:val=""/>
      <w:lvlJc w:val="left"/>
      <w:pPr>
        <w:ind w:left="860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o"/>
      <w:lvlJc w:val="left"/>
      <w:pPr>
        <w:ind w:left="1220" w:hanging="361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020" w:hanging="361"/>
      </w:pPr>
      <w:rPr>
        <w:rFonts w:hint="default"/>
      </w:rPr>
    </w:lvl>
    <w:lvl w:ilvl="5">
      <w:numFmt w:val="bullet"/>
      <w:lvlText w:val="•"/>
      <w:lvlJc w:val="left"/>
      <w:pPr>
        <w:ind w:left="4953" w:hanging="361"/>
      </w:pPr>
      <w:rPr>
        <w:rFonts w:hint="default"/>
      </w:rPr>
    </w:lvl>
    <w:lvl w:ilvl="6">
      <w:numFmt w:val="bullet"/>
      <w:lvlText w:val="•"/>
      <w:lvlJc w:val="left"/>
      <w:pPr>
        <w:ind w:left="5886" w:hanging="361"/>
      </w:pPr>
      <w:rPr>
        <w:rFonts w:hint="default"/>
      </w:rPr>
    </w:lvl>
    <w:lvl w:ilvl="7">
      <w:numFmt w:val="bullet"/>
      <w:lvlText w:val="•"/>
      <w:lvlJc w:val="left"/>
      <w:pPr>
        <w:ind w:left="6820" w:hanging="361"/>
      </w:pPr>
      <w:rPr>
        <w:rFonts w:hint="default"/>
      </w:rPr>
    </w:lvl>
    <w:lvl w:ilvl="8">
      <w:numFmt w:val="bullet"/>
      <w:lvlText w:val="•"/>
      <w:lvlJc w:val="left"/>
      <w:pPr>
        <w:ind w:left="7753" w:hanging="361"/>
      </w:pPr>
      <w:rPr>
        <w:rFonts w:hint="default"/>
      </w:rPr>
    </w:lvl>
  </w:abstractNum>
  <w:num w:numId="1" w16cid:durableId="123741026">
    <w:abstractNumId w:val="2"/>
  </w:num>
  <w:num w:numId="2" w16cid:durableId="610355741">
    <w:abstractNumId w:val="0"/>
  </w:num>
  <w:num w:numId="3" w16cid:durableId="1078595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7F8"/>
    <w:rsid w:val="00003A0F"/>
    <w:rsid w:val="00040B90"/>
    <w:rsid w:val="0005185C"/>
    <w:rsid w:val="00075EE3"/>
    <w:rsid w:val="000A554E"/>
    <w:rsid w:val="000A73AD"/>
    <w:rsid w:val="000E5BD4"/>
    <w:rsid w:val="001C58E6"/>
    <w:rsid w:val="00223F9E"/>
    <w:rsid w:val="002E39DD"/>
    <w:rsid w:val="00313B67"/>
    <w:rsid w:val="00426690"/>
    <w:rsid w:val="00445FDF"/>
    <w:rsid w:val="005456D8"/>
    <w:rsid w:val="006E3B48"/>
    <w:rsid w:val="006E5552"/>
    <w:rsid w:val="0073090E"/>
    <w:rsid w:val="007C5B4F"/>
    <w:rsid w:val="00857149"/>
    <w:rsid w:val="0086125C"/>
    <w:rsid w:val="008719A6"/>
    <w:rsid w:val="00887CFF"/>
    <w:rsid w:val="008C44ED"/>
    <w:rsid w:val="00903AF6"/>
    <w:rsid w:val="00907792"/>
    <w:rsid w:val="00954023"/>
    <w:rsid w:val="00966777"/>
    <w:rsid w:val="0098382D"/>
    <w:rsid w:val="00A16FCE"/>
    <w:rsid w:val="00A57308"/>
    <w:rsid w:val="00A702F3"/>
    <w:rsid w:val="00A73DD4"/>
    <w:rsid w:val="00AD14FA"/>
    <w:rsid w:val="00B002A2"/>
    <w:rsid w:val="00B15FD7"/>
    <w:rsid w:val="00B179BD"/>
    <w:rsid w:val="00B35B6F"/>
    <w:rsid w:val="00B4501A"/>
    <w:rsid w:val="00B5611F"/>
    <w:rsid w:val="00C25A88"/>
    <w:rsid w:val="00C55EDA"/>
    <w:rsid w:val="00C82366"/>
    <w:rsid w:val="00CB3E81"/>
    <w:rsid w:val="00CC67F5"/>
    <w:rsid w:val="00CD7586"/>
    <w:rsid w:val="00CF40C4"/>
    <w:rsid w:val="00D34353"/>
    <w:rsid w:val="00D576BA"/>
    <w:rsid w:val="00DA2970"/>
    <w:rsid w:val="00DF6F35"/>
    <w:rsid w:val="00E1234C"/>
    <w:rsid w:val="00E51F0E"/>
    <w:rsid w:val="00E61EFB"/>
    <w:rsid w:val="00F530A0"/>
    <w:rsid w:val="00FA0758"/>
    <w:rsid w:val="00FB07F8"/>
    <w:rsid w:val="00FE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EEF1BF"/>
  <w15:docId w15:val="{7D183CF3-BDBF-4AAF-83B7-72A2BF72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418" w:hanging="27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67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777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667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777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CC67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7F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@hearstpow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earstpower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rstpow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413</Words>
  <Characters>2210</Characters>
  <Application>Microsoft Office Word</Application>
  <DocSecurity>0</DocSecurity>
  <Lines>110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Schonewille</dc:creator>
  <cp:lastModifiedBy>Jessy Richard</cp:lastModifiedBy>
  <cp:revision>49</cp:revision>
  <dcterms:created xsi:type="dcterms:W3CDTF">2024-12-16T12:13:00Z</dcterms:created>
  <dcterms:modified xsi:type="dcterms:W3CDTF">2024-12-30T15:37:00Z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2024-02-09T00:00:00Z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2024-12-16T00:00:00Z</vt:filetime>
  </property>
</Properties>
</file>